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eastAsia="方正小标宋简体"/>
          <w:color w:val="FF0000"/>
          <w:spacing w:val="120"/>
          <w:w w:val="92"/>
          <w:sz w:val="70"/>
          <w:szCs w:val="70"/>
        </w:rPr>
      </w:pPr>
      <w:r>
        <w:rPr>
          <w:rFonts w:eastAsia="方正小标宋简体"/>
          <w:color w:val="FF0000"/>
          <w:spacing w:val="120"/>
          <w:w w:val="92"/>
          <w:sz w:val="70"/>
          <w:szCs w:val="70"/>
        </w:rPr>
        <w:t>中共凤庆县委组织部</w:t>
      </w:r>
    </w:p>
    <w:p>
      <w:pPr>
        <w:spacing w:line="600" w:lineRule="exact"/>
        <w:rPr>
          <w:rFonts w:hint="eastAsia" w:eastAsia="仿宋_GB2312"/>
          <w:sz w:val="32"/>
          <w:szCs w:val="32"/>
        </w:rPr>
      </w:pPr>
      <w:r>
        <w:rPr>
          <w:rFonts w:eastAsia="仿宋_GB2312"/>
          <w:sz w:val="32"/>
          <w:szCs w:val="32"/>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86360</wp:posOffset>
                </wp:positionV>
                <wp:extent cx="5715000" cy="0"/>
                <wp:effectExtent l="0" t="28575" r="0" b="28575"/>
                <wp:wrapNone/>
                <wp:docPr id="3" name="直线 2"/>
                <wp:cNvGraphicFramePr/>
                <a:graphic xmlns:a="http://schemas.openxmlformats.org/drawingml/2006/main">
                  <a:graphicData uri="http://schemas.microsoft.com/office/word/2010/wordprocessingShape">
                    <wps:wsp>
                      <wps:cNvCnPr/>
                      <wps:spPr>
                        <a:xfrm>
                          <a:off x="0" y="0"/>
                          <a:ext cx="5715000" cy="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pt;margin-top:6.8pt;height:0pt;width:450pt;z-index:251658240;mso-width-relative:page;mso-height-relative:page;" filled="f" stroked="t" coordsize="21600,21600" o:gfxdata="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Y9O9EAAAAGAQAADwAAAAAAAAABACAAAAAiAAAAZHJzL2Rv&#10;d25yZXYueG1sUEsBAhQAFAAAAAgAh07iQM9r8RTPAQAAlAMAAA4AAAAAAAAAAQAgAAAAIAEAAGRy&#10;cy9lMm9Eb2MueG1sUEsFBgAAAAAGAAYAWQEAAGEFAAAAAA==&#10;">
                <v:fill on="f" focussize="0,0"/>
                <v:stroke weight="4.5pt" color="#FF0000" linestyle="thickThin" joinstyle="round"/>
                <v:imagedata o:title=""/>
                <o:lock v:ext="edit" aspectratio="f"/>
              </v:line>
            </w:pict>
          </mc:Fallback>
        </mc:AlternateContent>
      </w:r>
    </w:p>
    <w:p>
      <w:pPr>
        <w:spacing w:line="58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eastAsia="zh-CN"/>
        </w:rPr>
        <w:t>关于做好</w:t>
      </w:r>
      <w:r>
        <w:rPr>
          <w:rFonts w:hint="default" w:ascii="Times New Roman" w:hAnsi="Times New Roman" w:eastAsia="方正小标宋简体" w:cs="Times New Roman"/>
          <w:sz w:val="44"/>
          <w:szCs w:val="44"/>
          <w:lang w:val="en-US" w:eastAsia="zh-CN"/>
        </w:rPr>
        <w:t>2017年度中央组织部代中央管理党费和省委组织部代省委管理党费收支情况</w:t>
      </w:r>
    </w:p>
    <w:p>
      <w:pPr>
        <w:spacing w:line="58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公示工作</w:t>
      </w:r>
      <w:r>
        <w:rPr>
          <w:rFonts w:hint="default" w:ascii="Times New Roman" w:hAnsi="Times New Roman" w:eastAsia="方正小标宋简体" w:cs="Times New Roman"/>
          <w:sz w:val="44"/>
          <w:szCs w:val="44"/>
        </w:rPr>
        <w:t>的通知</w:t>
      </w:r>
    </w:p>
    <w:p>
      <w:pPr>
        <w:spacing w:line="580" w:lineRule="exact"/>
        <w:jc w:val="center"/>
        <w:rPr>
          <w:rFonts w:hint="default" w:ascii="Times New Roman" w:hAnsi="Times New Roman" w:eastAsia="方正小标宋简体" w:cs="Times New Roman"/>
          <w:sz w:val="44"/>
          <w:szCs w:val="44"/>
        </w:rPr>
      </w:pPr>
    </w:p>
    <w:p>
      <w:pPr>
        <w:widowControl/>
        <w:spacing w:line="600"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各乡、镇、民族乡党委，</w:t>
      </w:r>
      <w:r>
        <w:rPr>
          <w:rFonts w:hint="default" w:ascii="Times New Roman" w:hAnsi="Times New Roman" w:eastAsia="方正仿宋_GBK" w:cs="Times New Roman"/>
          <w:sz w:val="32"/>
          <w:szCs w:val="32"/>
          <w:lang w:eastAsia="zh-CN"/>
        </w:rPr>
        <w:t>县直机关工委、县委非公有制经济组织和社会组织工委、县委教育工委</w:t>
      </w:r>
      <w:r>
        <w:rPr>
          <w:rFonts w:hint="default" w:ascii="Times New Roman" w:hAnsi="Times New Roman" w:eastAsia="方正仿宋_GBK" w:cs="Times New Roman"/>
          <w:sz w:val="32"/>
          <w:szCs w:val="32"/>
        </w:rPr>
        <w:t>：</w:t>
      </w:r>
    </w:p>
    <w:p>
      <w:pPr>
        <w:widowControl/>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根据市委组织部的统一安排，现将《</w:t>
      </w:r>
      <w:r>
        <w:rPr>
          <w:rFonts w:hint="default" w:ascii="Times New Roman" w:hAnsi="Times New Roman" w:eastAsia="仿宋_GB2312" w:cs="Times New Roman"/>
          <w:sz w:val="32"/>
          <w:szCs w:val="32"/>
          <w:lang w:val="en-US" w:eastAsia="zh-CN"/>
        </w:rPr>
        <w:t>2017年度中管党费收支情况</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2017年度省管党费收支情况</w:t>
      </w:r>
      <w:r>
        <w:rPr>
          <w:rFonts w:hint="default" w:ascii="Times New Roman" w:hAnsi="Times New Roman" w:eastAsia="仿宋_GB2312" w:cs="Times New Roman"/>
          <w:sz w:val="32"/>
          <w:szCs w:val="32"/>
          <w:lang w:eastAsia="zh-CN"/>
        </w:rPr>
        <w:t>》印发给你们，</w:t>
      </w:r>
      <w:r>
        <w:rPr>
          <w:rFonts w:hint="default" w:ascii="Times New Roman" w:hAnsi="Times New Roman" w:eastAsia="方正仿宋_GBK" w:cs="Times New Roman"/>
          <w:sz w:val="32"/>
          <w:szCs w:val="32"/>
          <w:lang w:eastAsia="zh-CN"/>
        </w:rPr>
        <w:t>请各党组织按要求做好公示工作。</w:t>
      </w:r>
    </w:p>
    <w:p>
      <w:pPr>
        <w:widowControl/>
        <w:numPr>
          <w:ilvl w:val="0"/>
          <w:numId w:val="0"/>
        </w:numPr>
        <w:tabs>
          <w:tab w:val="left" w:pos="571"/>
        </w:tabs>
        <w:spacing w:line="600" w:lineRule="exact"/>
        <w:rPr>
          <w:rFonts w:hint="default" w:ascii="Times New Roman" w:hAnsi="Times New Roman" w:eastAsia="黑体" w:cs="Times New Roman"/>
          <w:b w:val="0"/>
          <w:bCs w:val="0"/>
          <w:sz w:val="32"/>
          <w:szCs w:val="32"/>
          <w:lang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b w:val="0"/>
          <w:bCs w:val="0"/>
          <w:sz w:val="32"/>
          <w:szCs w:val="32"/>
          <w:lang w:val="en-US" w:eastAsia="zh-CN"/>
        </w:rPr>
        <w:t>一、</w:t>
      </w:r>
      <w:r>
        <w:rPr>
          <w:rFonts w:hint="default" w:ascii="Times New Roman" w:hAnsi="Times New Roman" w:eastAsia="黑体" w:cs="Times New Roman"/>
          <w:b w:val="0"/>
          <w:bCs w:val="0"/>
          <w:sz w:val="32"/>
          <w:szCs w:val="32"/>
          <w:lang w:eastAsia="zh-CN"/>
        </w:rPr>
        <w:t>公示时间</w:t>
      </w:r>
    </w:p>
    <w:p>
      <w:pPr>
        <w:widowControl/>
        <w:numPr>
          <w:ilvl w:val="0"/>
          <w:numId w:val="0"/>
        </w:numPr>
        <w:spacing w:line="60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2018年11月14日至22日（7个工作日）。</w:t>
      </w:r>
    </w:p>
    <w:p>
      <w:pPr>
        <w:widowControl/>
        <w:numPr>
          <w:ilvl w:val="0"/>
          <w:numId w:val="0"/>
        </w:numPr>
        <w:spacing w:line="600" w:lineRule="exact"/>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lang w:val="en-US" w:eastAsia="zh-CN"/>
        </w:rPr>
        <w:t xml:space="preserve"> 二、公示范围</w:t>
      </w:r>
    </w:p>
    <w:p>
      <w:pPr>
        <w:widowControl/>
        <w:numPr>
          <w:ilvl w:val="0"/>
          <w:numId w:val="0"/>
        </w:numPr>
        <w:spacing w:line="60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全县各级党组织和广大党员。</w:t>
      </w:r>
    </w:p>
    <w:p>
      <w:pPr>
        <w:widowControl/>
        <w:numPr>
          <w:ilvl w:val="0"/>
          <w:numId w:val="0"/>
        </w:numPr>
        <w:spacing w:line="600" w:lineRule="exact"/>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lang w:val="en-US" w:eastAsia="zh-CN"/>
        </w:rPr>
        <w:t xml:space="preserve"> 三、相关要求</w:t>
      </w:r>
    </w:p>
    <w:p>
      <w:pPr>
        <w:widowControl/>
        <w:numPr>
          <w:ilvl w:val="0"/>
          <w:numId w:val="0"/>
        </w:numPr>
        <w:spacing w:line="60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（一）各党组织要结合党的十九大精神的学习宣传，推进“两学一做”学习教育常态化制度化等工作，以高度的政治责任感，坚持党内进行的原则，通过“三会一课”、文件传阅、张榜公示等方式，</w:t>
      </w:r>
      <w:r>
        <w:rPr>
          <w:rFonts w:hint="default" w:ascii="Times New Roman" w:hAnsi="Times New Roman" w:eastAsia="仿宋_GB2312" w:cs="Times New Roman"/>
          <w:sz w:val="32"/>
          <w:szCs w:val="32"/>
          <w:lang w:val="en-US" w:eastAsia="zh-CN"/>
        </w:rPr>
        <w:t>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2017年度中管党费收支情况</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2017年度省管党费收支情况</w:t>
      </w:r>
      <w:r>
        <w:rPr>
          <w:rFonts w:hint="default" w:ascii="Times New Roman" w:hAnsi="Times New Roman" w:eastAsia="方正仿宋_GBK" w:cs="Times New Roman"/>
          <w:sz w:val="32"/>
          <w:szCs w:val="32"/>
          <w:lang w:eastAsia="zh-CN"/>
        </w:rPr>
        <w:t>》</w:t>
      </w:r>
      <w:r>
        <w:rPr>
          <w:rFonts w:hint="default" w:ascii="Times New Roman" w:hAnsi="Times New Roman" w:eastAsia="仿宋_GB2312" w:cs="Times New Roman"/>
          <w:sz w:val="32"/>
          <w:szCs w:val="32"/>
          <w:lang w:eastAsia="zh-CN"/>
        </w:rPr>
        <w:t>在所属党组织和党员中公示，要传达到每一个支部、每一名党员，确保党员的知情权和监督权得到充分保障，进一步增强党费工作的透明度。严禁将党费收支情况通过外部网络、媒体传输公示。公示中，要密切关注党员反映，加强舆情管控和引导，防止出现负面炒作，各党组织要认真梳理汇总公示情况和意见建议，于</w:t>
      </w:r>
      <w:r>
        <w:rPr>
          <w:rFonts w:hint="default" w:ascii="Times New Roman" w:hAnsi="Times New Roman" w:eastAsia="仿宋_GB2312" w:cs="Times New Roman"/>
          <w:sz w:val="32"/>
          <w:szCs w:val="32"/>
          <w:lang w:val="en-US" w:eastAsia="zh-CN"/>
        </w:rPr>
        <w:t>2018年11月24日前报县委组织部组织股。</w:t>
      </w:r>
    </w:p>
    <w:p>
      <w:pPr>
        <w:widowControl/>
        <w:numPr>
          <w:ilvl w:val="0"/>
          <w:numId w:val="1"/>
        </w:num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各党组织要结合实际，通过适当方式于</w:t>
      </w:r>
      <w:r>
        <w:rPr>
          <w:rFonts w:hint="default" w:ascii="Times New Roman" w:hAnsi="Times New Roman" w:eastAsia="仿宋_GB2312" w:cs="Times New Roman"/>
          <w:sz w:val="32"/>
          <w:szCs w:val="32"/>
          <w:lang w:val="en-US" w:eastAsia="zh-CN"/>
        </w:rPr>
        <w:t>2018年12月31日前</w:t>
      </w:r>
      <w:r>
        <w:rPr>
          <w:rFonts w:hint="default" w:ascii="Times New Roman" w:hAnsi="Times New Roman" w:eastAsia="仿宋_GB2312" w:cs="Times New Roman"/>
          <w:sz w:val="32"/>
          <w:szCs w:val="32"/>
          <w:lang w:eastAsia="zh-CN"/>
        </w:rPr>
        <w:t>将本级党组织管理的</w:t>
      </w:r>
      <w:r>
        <w:rPr>
          <w:rFonts w:hint="default" w:ascii="Times New Roman" w:hAnsi="Times New Roman" w:eastAsia="仿宋_GB2312" w:cs="Times New Roman"/>
          <w:sz w:val="32"/>
          <w:szCs w:val="32"/>
          <w:lang w:val="en-US" w:eastAsia="zh-CN"/>
        </w:rPr>
        <w:t>2017年度党费收支情况向所属党组织和党员公示。</w:t>
      </w:r>
    </w:p>
    <w:p>
      <w:pPr>
        <w:widowControl/>
        <w:numPr>
          <w:ilvl w:val="0"/>
          <w:numId w:val="1"/>
        </w:num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各乡（镇）党委、县直机关工委、县委非公有制经济组织和社会组织工委、</w:t>
      </w:r>
      <w:r>
        <w:rPr>
          <w:rFonts w:hint="default" w:ascii="Times New Roman" w:hAnsi="Times New Roman" w:eastAsia="方正仿宋_GBK" w:cs="Times New Roman"/>
          <w:sz w:val="32"/>
          <w:szCs w:val="32"/>
          <w:lang w:eastAsia="zh-CN"/>
        </w:rPr>
        <w:t>县委教育工委</w:t>
      </w:r>
      <w:r>
        <w:rPr>
          <w:rFonts w:hint="eastAsia" w:ascii="Times New Roman" w:hAnsi="Times New Roman" w:eastAsia="方正仿宋_GBK" w:cs="Times New Roman"/>
          <w:sz w:val="32"/>
          <w:szCs w:val="32"/>
          <w:lang w:eastAsia="zh-CN"/>
        </w:rPr>
        <w:t>要</w:t>
      </w:r>
      <w:r>
        <w:rPr>
          <w:rFonts w:hint="default" w:ascii="Times New Roman" w:hAnsi="Times New Roman" w:eastAsia="仿宋_GB2312" w:cs="Times New Roman"/>
          <w:sz w:val="32"/>
          <w:szCs w:val="32"/>
          <w:lang w:val="en-US" w:eastAsia="zh-CN"/>
        </w:rPr>
        <w:t>将本级党（工）委2017年度党费公示情况和意见建议进行梳理汇总，并于2018年12月31日前报县委组织部组织股。</w:t>
      </w:r>
    </w:p>
    <w:p>
      <w:pPr>
        <w:widowControl/>
        <w:numPr>
          <w:ilvl w:val="0"/>
          <w:numId w:val="0"/>
        </w:numPr>
        <w:spacing w:line="600" w:lineRule="exact"/>
        <w:ind w:firstLine="960" w:firstLineChars="3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联系人：李云梅           联系电话：4218294</w:t>
      </w:r>
      <w:bookmarkStart w:id="0" w:name="_GoBack"/>
      <w:bookmarkEnd w:id="0"/>
    </w:p>
    <w:p>
      <w:pPr>
        <w:widowControl/>
        <w:numPr>
          <w:ilvl w:val="0"/>
          <w:numId w:val="0"/>
        </w:numPr>
        <w:spacing w:line="600" w:lineRule="exact"/>
        <w:rPr>
          <w:rFonts w:hint="default" w:ascii="Times New Roman" w:hAnsi="Times New Roman" w:eastAsia="仿宋_GB2312" w:cs="Times New Roman"/>
          <w:sz w:val="32"/>
          <w:szCs w:val="32"/>
          <w:lang w:val="en-US" w:eastAsia="zh-CN"/>
        </w:rPr>
      </w:pPr>
    </w:p>
    <w:p>
      <w:pPr>
        <w:widowControl/>
        <w:numPr>
          <w:ilvl w:val="0"/>
          <w:numId w:val="0"/>
        </w:numPr>
        <w:spacing w:line="600" w:lineRule="exact"/>
        <w:rPr>
          <w:rFonts w:hint="default" w:ascii="Times New Roman" w:hAnsi="Times New Roman" w:eastAsia="仿宋_GB2312" w:cs="Times New Roman"/>
          <w:sz w:val="32"/>
          <w:szCs w:val="32"/>
          <w:lang w:val="en-US" w:eastAsia="zh-CN"/>
        </w:rPr>
      </w:pPr>
    </w:p>
    <w:p>
      <w:pPr>
        <w:widowControl/>
        <w:numPr>
          <w:ilvl w:val="0"/>
          <w:numId w:val="0"/>
        </w:numPr>
        <w:spacing w:line="60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附件：1. 2017年度中管党费收支情况</w:t>
      </w:r>
    </w:p>
    <w:p>
      <w:pPr>
        <w:widowControl/>
        <w:numPr>
          <w:ilvl w:val="0"/>
          <w:numId w:val="0"/>
        </w:numPr>
        <w:spacing w:line="60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2. 2017年度省管党费收支情况</w:t>
      </w:r>
    </w:p>
    <w:p>
      <w:pPr>
        <w:widowControl/>
        <w:numPr>
          <w:ilvl w:val="0"/>
          <w:numId w:val="0"/>
        </w:numPr>
        <w:spacing w:line="600" w:lineRule="exact"/>
        <w:rPr>
          <w:rFonts w:hint="default" w:ascii="Times New Roman" w:hAnsi="Times New Roman" w:eastAsia="仿宋_GB2312" w:cs="Times New Roman"/>
          <w:sz w:val="32"/>
          <w:szCs w:val="32"/>
          <w:lang w:val="en-US" w:eastAsia="zh-CN"/>
        </w:rPr>
      </w:pPr>
    </w:p>
    <w:p>
      <w:pPr>
        <w:spacing w:line="580" w:lineRule="exact"/>
        <w:rPr>
          <w:rFonts w:hint="default" w:ascii="Times New Roman" w:hAnsi="Times New Roman" w:eastAsia="仿宋_GB2312" w:cs="Times New Roman"/>
          <w:spacing w:val="-30"/>
          <w:sz w:val="32"/>
          <w:szCs w:val="32"/>
        </w:rPr>
      </w:pPr>
    </w:p>
    <w:p>
      <w:pPr>
        <w:widowControl/>
        <w:spacing w:line="600" w:lineRule="exact"/>
        <w:ind w:firstLine="5440" w:firstLineChars="17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中共凤庆县委组织部      </w:t>
      </w:r>
    </w:p>
    <w:p>
      <w:pPr>
        <w:widowControl/>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201</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14</w:t>
      </w:r>
      <w:r>
        <w:rPr>
          <w:rFonts w:hint="default" w:ascii="Times New Roman" w:hAnsi="Times New Roman" w:eastAsia="仿宋_GB2312" w:cs="Times New Roman"/>
          <w:sz w:val="32"/>
          <w:szCs w:val="32"/>
        </w:rPr>
        <w:t>日</w:t>
      </w:r>
    </w:p>
    <w:p>
      <w:pPr>
        <w:widowControl/>
        <w:spacing w:line="600" w:lineRule="exact"/>
        <w:ind w:firstLine="420" w:firstLineChars="200"/>
        <w:rPr>
          <w:rFonts w:hint="default" w:ascii="Times New Roman" w:hAnsi="Times New Roman" w:eastAsia="仿宋_GB2312" w:cs="Times New Roman"/>
          <w:sz w:val="32"/>
          <w:szCs w:val="32"/>
        </w:rPr>
      </w:pPr>
      <w:r>
        <w:drawing>
          <wp:anchor distT="0" distB="0" distL="114300" distR="114300" simplePos="0" relativeHeight="251659264" behindDoc="0" locked="0" layoutInCell="1" allowOverlap="1">
            <wp:simplePos x="0" y="0"/>
            <wp:positionH relativeFrom="column">
              <wp:posOffset>-9525</wp:posOffset>
            </wp:positionH>
            <wp:positionV relativeFrom="paragraph">
              <wp:posOffset>-235585</wp:posOffset>
            </wp:positionV>
            <wp:extent cx="5572125" cy="8921115"/>
            <wp:effectExtent l="0" t="0" r="9525" b="1333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572125" cy="8921115"/>
                    </a:xfrm>
                    <a:prstGeom prst="rect">
                      <a:avLst/>
                    </a:prstGeom>
                    <a:noFill/>
                    <a:ln w="9525">
                      <a:noFill/>
                    </a:ln>
                    <a:effectLst/>
                  </pic:spPr>
                </pic:pic>
              </a:graphicData>
            </a:graphic>
          </wp:anchor>
        </w:drawing>
      </w:r>
      <w:r>
        <w:drawing>
          <wp:inline distT="0" distB="0" distL="114300" distR="114300">
            <wp:extent cx="5267960" cy="7430770"/>
            <wp:effectExtent l="0" t="0" r="8890"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7960" cy="7430770"/>
                    </a:xfrm>
                    <a:prstGeom prst="rect">
                      <a:avLst/>
                    </a:prstGeom>
                    <a:noFill/>
                    <a:ln w="9525">
                      <a:noFill/>
                    </a:ln>
                    <a:effectLst/>
                  </pic:spPr>
                </pic:pic>
              </a:graphicData>
            </a:graphic>
          </wp:inline>
        </w:drawing>
      </w:r>
    </w:p>
    <w:p>
      <w:pPr>
        <w:widowControl/>
        <w:spacing w:line="600" w:lineRule="exact"/>
        <w:rPr>
          <w:rFonts w:hint="default" w:ascii="Times New Roman" w:hAnsi="Times New Roman" w:eastAsia="仿宋_GB2312" w:cs="Times New Roman"/>
          <w:sz w:val="32"/>
          <w:szCs w:val="32"/>
        </w:rPr>
      </w:pPr>
    </w:p>
    <w:p/>
    <w:p/>
    <w:p/>
    <w:p/>
    <w:p/>
    <w:p/>
    <w:p/>
    <w:p/>
    <w:p/>
    <w:p/>
    <w:p/>
    <w:p/>
    <w:p/>
    <w:p/>
    <w:p/>
    <w:p/>
    <w:p/>
    <w:p/>
    <w:p/>
    <w:p/>
    <w:p/>
    <w:p/>
    <w:p/>
    <w:p/>
    <w:p/>
    <w:p/>
    <w:p/>
    <w:p/>
    <w:p/>
    <w:p/>
    <w:p/>
    <w:p/>
    <w:p/>
    <w:p/>
    <w:p/>
    <w:p/>
    <w:p/>
    <w:p/>
    <w:p>
      <w:r>
        <w:drawing>
          <wp:inline distT="0" distB="0" distL="114300" distR="114300">
            <wp:extent cx="5629910" cy="8623300"/>
            <wp:effectExtent l="0" t="0" r="889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629910" cy="8623300"/>
                    </a:xfrm>
                    <a:prstGeom prst="rect">
                      <a:avLst/>
                    </a:prstGeom>
                    <a:noFill/>
                    <a:ln w="9525">
                      <a:noFill/>
                    </a:ln>
                    <a:effectLst/>
                  </pic:spPr>
                </pic:pic>
              </a:graphicData>
            </a:graphic>
          </wp:inline>
        </w:drawing>
      </w:r>
    </w:p>
    <w:p>
      <w:r>
        <w:drawing>
          <wp:inline distT="0" distB="0" distL="114300" distR="114300">
            <wp:extent cx="5915660" cy="8345170"/>
            <wp:effectExtent l="0" t="0" r="8890" b="177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915660" cy="8345170"/>
                    </a:xfrm>
                    <a:prstGeom prst="rect">
                      <a:avLst/>
                    </a:prstGeom>
                    <a:noFill/>
                    <a:ln w="9525">
                      <a:noFill/>
                    </a:ln>
                    <a:effectLst/>
                  </pic:spPr>
                </pic:pic>
              </a:graphicData>
            </a:graphic>
          </wp:inline>
        </w:drawing>
      </w:r>
    </w:p>
    <w:p>
      <w:r>
        <w:drawing>
          <wp:inline distT="0" distB="0" distL="114300" distR="114300">
            <wp:extent cx="5868035" cy="8277860"/>
            <wp:effectExtent l="0" t="0" r="184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868035" cy="8277860"/>
                    </a:xfrm>
                    <a:prstGeom prst="rect">
                      <a:avLst/>
                    </a:prstGeom>
                    <a:noFill/>
                    <a:ln w="9525">
                      <a:noFill/>
                    </a:ln>
                    <a:effectLst/>
                  </pic:spPr>
                </pic:pic>
              </a:graphicData>
            </a:graphic>
          </wp:inline>
        </w:drawing>
      </w:r>
    </w:p>
    <w:sectPr>
      <w:footerReference r:id="rId3" w:type="default"/>
      <w:pgSz w:w="11906" w:h="16838"/>
      <w:pgMar w:top="1985" w:right="1418" w:bottom="1758"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Style w:val="5"/>
                              <w:rFonts w:hint="eastAsia" w:ascii="宋体" w:hAnsi="宋体"/>
                              <w:sz w:val="24"/>
                              <w:szCs w:val="24"/>
                            </w:rPr>
                          </w:pPr>
                          <w:r>
                            <w:rPr>
                              <w:rStyle w:val="5"/>
                              <w:rFonts w:hint="eastAsia" w:ascii="宋体" w:hAnsi="宋体"/>
                              <w:sz w:val="24"/>
                              <w:szCs w:val="24"/>
                            </w:rPr>
                            <w:t xml:space="preserve">— </w:t>
                          </w:r>
                          <w:r>
                            <w:rPr>
                              <w:rStyle w:val="5"/>
                              <w:rFonts w:hint="eastAsia" w:ascii="宋体" w:hAnsi="宋体"/>
                              <w:sz w:val="24"/>
                              <w:szCs w:val="24"/>
                              <w:lang w:val="en-US" w:eastAsia="zh-CN"/>
                            </w:rPr>
                            <w:t xml:space="preserve"> </w:t>
                          </w:r>
                          <w:r>
                            <w:rPr>
                              <w:rFonts w:hint="default" w:ascii="Times New Roman" w:hAnsi="Times New Roman" w:cs="Times New Roman"/>
                              <w:sz w:val="28"/>
                              <w:szCs w:val="28"/>
                            </w:rPr>
                            <w:fldChar w:fldCharType="begin"/>
                          </w:r>
                          <w:r>
                            <w:rPr>
                              <w:rStyle w:val="5"/>
                              <w:rFonts w:hint="default" w:ascii="Times New Roman" w:hAnsi="Times New Roman" w:cs="Times New Roman"/>
                              <w:sz w:val="28"/>
                              <w:szCs w:val="28"/>
                            </w:rPr>
                            <w:instrText xml:space="preserve">PAGE  </w:instrText>
                          </w:r>
                          <w:r>
                            <w:rPr>
                              <w:rFonts w:hint="default" w:ascii="Times New Roman" w:hAnsi="Times New Roman" w:cs="Times New Roman"/>
                              <w:sz w:val="28"/>
                              <w:szCs w:val="28"/>
                            </w:rPr>
                            <w:fldChar w:fldCharType="separate"/>
                          </w:r>
                          <w:r>
                            <w:rPr>
                              <w:rStyle w:val="5"/>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Style w:val="5"/>
                              <w:rFonts w:hint="default" w:ascii="Times New Roman" w:hAnsi="Times New Roman" w:cs="Times New Roman"/>
                              <w:sz w:val="28"/>
                              <w:szCs w:val="28"/>
                            </w:rPr>
                            <w:t xml:space="preserve"> </w:t>
                          </w:r>
                          <w:r>
                            <w:rPr>
                              <w:rStyle w:val="5"/>
                              <w:rFonts w:hint="eastAsia" w:ascii="宋体" w:hAnsi="宋体"/>
                              <w:sz w:val="24"/>
                              <w:szCs w:val="24"/>
                              <w:lang w:val="en-US" w:eastAsia="zh-CN"/>
                            </w:rPr>
                            <w:t xml:space="preserve"> </w:t>
                          </w:r>
                          <w:r>
                            <w:rPr>
                              <w:rStyle w:val="5"/>
                              <w:rFonts w:hint="eastAsia" w:ascii="宋体" w:hAnsi="宋体"/>
                              <w:sz w:val="24"/>
                              <w:szCs w:val="24"/>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Style w:val="5"/>
                        <w:rFonts w:hint="eastAsia" w:ascii="宋体" w:hAnsi="宋体"/>
                        <w:sz w:val="24"/>
                        <w:szCs w:val="24"/>
                      </w:rPr>
                    </w:pPr>
                    <w:r>
                      <w:rPr>
                        <w:rStyle w:val="5"/>
                        <w:rFonts w:hint="eastAsia" w:ascii="宋体" w:hAnsi="宋体"/>
                        <w:sz w:val="24"/>
                        <w:szCs w:val="24"/>
                      </w:rPr>
                      <w:t xml:space="preserve">— </w:t>
                    </w:r>
                    <w:r>
                      <w:rPr>
                        <w:rStyle w:val="5"/>
                        <w:rFonts w:hint="eastAsia" w:ascii="宋体" w:hAnsi="宋体"/>
                        <w:sz w:val="24"/>
                        <w:szCs w:val="24"/>
                        <w:lang w:val="en-US" w:eastAsia="zh-CN"/>
                      </w:rPr>
                      <w:t xml:space="preserve"> </w:t>
                    </w:r>
                    <w:r>
                      <w:rPr>
                        <w:rFonts w:hint="default" w:ascii="Times New Roman" w:hAnsi="Times New Roman" w:cs="Times New Roman"/>
                        <w:sz w:val="28"/>
                        <w:szCs w:val="28"/>
                      </w:rPr>
                      <w:fldChar w:fldCharType="begin"/>
                    </w:r>
                    <w:r>
                      <w:rPr>
                        <w:rStyle w:val="5"/>
                        <w:rFonts w:hint="default" w:ascii="Times New Roman" w:hAnsi="Times New Roman" w:cs="Times New Roman"/>
                        <w:sz w:val="28"/>
                        <w:szCs w:val="28"/>
                      </w:rPr>
                      <w:instrText xml:space="preserve">PAGE  </w:instrText>
                    </w:r>
                    <w:r>
                      <w:rPr>
                        <w:rFonts w:hint="default" w:ascii="Times New Roman" w:hAnsi="Times New Roman" w:cs="Times New Roman"/>
                        <w:sz w:val="28"/>
                        <w:szCs w:val="28"/>
                      </w:rPr>
                      <w:fldChar w:fldCharType="separate"/>
                    </w:r>
                    <w:r>
                      <w:rPr>
                        <w:rStyle w:val="5"/>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Style w:val="5"/>
                        <w:rFonts w:hint="default" w:ascii="Times New Roman" w:hAnsi="Times New Roman" w:cs="Times New Roman"/>
                        <w:sz w:val="28"/>
                        <w:szCs w:val="28"/>
                      </w:rPr>
                      <w:t xml:space="preserve"> </w:t>
                    </w:r>
                    <w:r>
                      <w:rPr>
                        <w:rStyle w:val="5"/>
                        <w:rFonts w:hint="eastAsia" w:ascii="宋体" w:hAnsi="宋体"/>
                        <w:sz w:val="24"/>
                        <w:szCs w:val="24"/>
                        <w:lang w:val="en-US" w:eastAsia="zh-CN"/>
                      </w:rPr>
                      <w:t xml:space="preserve"> </w:t>
                    </w:r>
                    <w:r>
                      <w:rPr>
                        <w:rStyle w:val="5"/>
                        <w:rFonts w:hint="eastAsia" w:ascii="宋体" w:hAnsi="宋体"/>
                        <w:sz w:val="24"/>
                        <w:szCs w:val="24"/>
                      </w:rPr>
                      <w:t>—</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4586605</wp:posOffset>
              </wp:positionH>
              <wp:positionV relativeFrom="paragraph">
                <wp:posOffset>-33020</wp:posOffset>
              </wp:positionV>
              <wp:extent cx="1762760" cy="1662430"/>
              <wp:effectExtent l="0" t="0" r="8890" b="13970"/>
              <wp:wrapNone/>
              <wp:docPr id="1" name="文本框 1"/>
              <wp:cNvGraphicFramePr/>
              <a:graphic xmlns:a="http://schemas.openxmlformats.org/drawingml/2006/main">
                <a:graphicData uri="http://schemas.microsoft.com/office/word/2010/wordprocessingShape">
                  <wps:wsp>
                    <wps:cNvSpPr txBox="1"/>
                    <wps:spPr>
                      <a:xfrm>
                        <a:off x="0" y="0"/>
                        <a:ext cx="1762760" cy="1662430"/>
                      </a:xfrm>
                      <a:prstGeom prst="rect">
                        <a:avLst/>
                      </a:prstGeom>
                      <a:solidFill>
                        <a:srgbClr val="FFFFFF"/>
                      </a:solidFill>
                      <a:ln w="9525">
                        <a:noFill/>
                      </a:ln>
                    </wps:spPr>
                    <wps:txbx>
                      <w:txbxContent>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61.15pt;margin-top:-2.6pt;height:130.9pt;width:138.8pt;z-index:251658240;mso-width-relative:page;mso-height-relative:margin;mso-height-percent:200;" fillcolor="#FFFFFF" filled="t" stroked="f" coordsize="21600,21600" o:gfxdata="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OHYLDYAAAACgEAAA8AAAAAAAAAAQAgAAAAIgAAAGRycy9kb3ducmV2LnhtbFBLAQIU&#10;ABQAAAAIAIdO4kDFOBK1ugEAAE0DAAAOAAAAAAAAAAEAIAAAACcBAABkcnMvZTJvRG9jLnhtbFBL&#10;BQYAAAAABgAGAFkBAABTBQAAAAA=&#10;">
              <v:fill on="t" focussize="0,0"/>
              <v:stroke on="f"/>
              <v:imagedata o:title=""/>
              <o:lock v:ext="edit" aspectratio="f"/>
              <v:textbox style="mso-fit-shape-to-text:t;">
                <w:txbxContent>
                  <w:p/>
                </w:txbxContent>
              </v:textbox>
            </v:shape>
          </w:pict>
        </mc:Fallback>
      </mc:AlternateContent>
    </w: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1A625"/>
    <w:multiLevelType w:val="singleLevel"/>
    <w:tmpl w:val="57A1A625"/>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268A5"/>
    <w:rsid w:val="0360438F"/>
    <w:rsid w:val="1C91691D"/>
    <w:rsid w:val="1ECB76AC"/>
    <w:rsid w:val="1FDF44F9"/>
    <w:rsid w:val="222551DF"/>
    <w:rsid w:val="22C4042C"/>
    <w:rsid w:val="25EE41CC"/>
    <w:rsid w:val="26B2197F"/>
    <w:rsid w:val="289409AB"/>
    <w:rsid w:val="298B1EEE"/>
    <w:rsid w:val="38006C70"/>
    <w:rsid w:val="396F19BD"/>
    <w:rsid w:val="3CA0240E"/>
    <w:rsid w:val="40C81E57"/>
    <w:rsid w:val="46244DA0"/>
    <w:rsid w:val="4D1C7FDC"/>
    <w:rsid w:val="4E655254"/>
    <w:rsid w:val="551E44EB"/>
    <w:rsid w:val="5A787F9F"/>
    <w:rsid w:val="5CD75245"/>
    <w:rsid w:val="5F4934D5"/>
    <w:rsid w:val="62CB5EDD"/>
    <w:rsid w:val="64A440AF"/>
    <w:rsid w:val="6B331320"/>
    <w:rsid w:val="6F08177B"/>
    <w:rsid w:val="6F631199"/>
    <w:rsid w:val="7CB010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page number"/>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梅子</cp:lastModifiedBy>
  <cp:lastPrinted>2018-11-18T07:38:00Z</cp:lastPrinted>
  <dcterms:modified xsi:type="dcterms:W3CDTF">2018-11-18T08:09:10Z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